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https://pm152lodz.bip.wikom.pl/strona/status-prawny</w:t>
            </w:r>
          </w:p>
          <w:p>
            <w:pPr/>
            <w:r>
              <w:rPr/>
              <w:t xml:space="preserve">https://pm152lodz.bip.wikom.pl/strona/sposob-zalatwiania-spraw</w:t>
            </w:r>
          </w:p>
          <w:p>
            <w:pPr/>
            <w:r>
              <w:rPr/>
              <w:t xml:space="preserve">https://pm152lodz.bip.wikom.pl/strona/strona-glowna</w:t>
            </w:r>
          </w:p>
          <w:p>
            <w:pPr/>
            <w:r>
              <w:rPr/>
              <w:t xml:space="preserve">https://pm152lodz.bip.wikom.pl/strona/oplaty</w:t>
            </w:r>
          </w:p>
          <w:p>
            <w:pPr/>
            <w:r>
              <w:rPr/>
              <w:t xml:space="preserve">https://pm152lodz.bip.wikom.pl/strona/epuap</w:t>
            </w:r>
          </w:p>
          <w:p>
            <w:pPr/>
            <w:r>
              <w:rPr/>
              <w:t xml:space="preserve">https://pm152lodz.bip.wikom.pl/strona/epuap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2025-03-30T20:30:48+00:00</dcterms:created>
  <dcterms:modified xsi:type="dcterms:W3CDTF">2025-03-30T20:30:48+00:00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